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24B1" w14:textId="77777777" w:rsidR="001E7784" w:rsidRPr="001E7784" w:rsidRDefault="001E7784" w:rsidP="001E7784">
      <w:pPr>
        <w:spacing w:after="0" w:line="240" w:lineRule="auto"/>
        <w:rPr>
          <w:rFonts w:ascii="Arial" w:eastAsia="Times New Roman" w:hAnsi="Arial" w:cs="Arial"/>
          <w:b/>
          <w:bCs/>
          <w:sz w:val="48"/>
          <w:szCs w:val="48"/>
        </w:rPr>
      </w:pPr>
      <w:r>
        <w:rPr>
          <w:rFonts w:ascii="Arial" w:hAnsi="Arial"/>
          <w:b/>
          <w:sz w:val="48"/>
        </w:rPr>
        <w:t>ЗОБОВ'ЯЗАННЯ ЩОДО ІНФОРМУВАННЯ</w:t>
      </w:r>
    </w:p>
    <w:p w14:paraId="37F54A08" w14:textId="77777777" w:rsidR="001E7784" w:rsidRDefault="001E7784" w:rsidP="001E7784">
      <w:pPr>
        <w:spacing w:after="360" w:line="240" w:lineRule="auto"/>
        <w:rPr>
          <w:rFonts w:ascii="Arial" w:eastAsia="Times New Roman" w:hAnsi="Arial" w:cs="Arial"/>
          <w:b/>
          <w:bCs/>
          <w:color w:val="000000"/>
          <w:spacing w:val="6"/>
          <w:sz w:val="24"/>
          <w:szCs w:val="24"/>
          <w:lang w:eastAsia="pl-PL"/>
        </w:rPr>
      </w:pPr>
    </w:p>
    <w:p w14:paraId="5825E36E"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b/>
          <w:color w:val="000000"/>
          <w:sz w:val="24"/>
        </w:rPr>
        <w:t>ПАМ'ЯТКА ДЛЯ КЛІЄНТА/КОНТРАГЕНТА</w:t>
      </w:r>
    </w:p>
    <w:p w14:paraId="4092DA96"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Діючи на підставі ст. 13 Регламенту Європейського Парламенту та Ради  (ЄС) 2016/679 «Про захист фізичних осіб у зв’язку з опрацюванням персональних даних і про вільний рух таких даних, та про скасування Директиви 95/46/ЄС» від 27 квітня 2016 року (GDPR), компанія Prymat Sp. z o.o. повідомляє вас про таке:</w:t>
      </w:r>
    </w:p>
    <w:p w14:paraId="5CD88E59"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Контролер персональних даних:</w:t>
      </w:r>
    </w:p>
    <w:p w14:paraId="7AD9CEB6"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Контролером персональних даних є компанія  </w:t>
      </w:r>
      <w:r>
        <w:rPr>
          <w:rFonts w:ascii="Arial" w:hAnsi="Arial"/>
          <w:b/>
          <w:color w:val="000000"/>
          <w:sz w:val="24"/>
        </w:rPr>
        <w:t>Prymat Sp. z o.o. (вул. Хлєбова, 14, 44-337, Ястшембе-Здруй).</w:t>
      </w:r>
    </w:p>
    <w:p w14:paraId="10DC08EB" w14:textId="77777777" w:rsidR="001E7784" w:rsidRPr="001E7784" w:rsidRDefault="001E7784" w:rsidP="001E7784">
      <w:pPr>
        <w:numPr>
          <w:ilvl w:val="0"/>
          <w:numId w:val="1"/>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Мета та правова підстава для обробки персональних даних:</w:t>
      </w:r>
    </w:p>
    <w:p w14:paraId="644EC8F4"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Персональні дані обробляються залежно від правової основи між Сторонами з метою: укладення договору поставки або виконання його положень відповідно до літ. b п. 1 ст. 6 GDPR; здійснення дій перед укладенням договору на запит суб’єкта даних, зокрема підготовка пропозиції відповідно до літ. b п. 1 ст. 6 GDPR;</w:t>
      </w:r>
    </w:p>
    <w:p w14:paraId="3D803193" w14:textId="77777777" w:rsidR="001E7784" w:rsidRPr="001E7784" w:rsidRDefault="001E7784" w:rsidP="001E7784">
      <w:pPr>
        <w:numPr>
          <w:ilvl w:val="0"/>
          <w:numId w:val="2"/>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color w:val="000000"/>
          <w:sz w:val="24"/>
        </w:rPr>
        <w:t> виконання правового обов'язку у сфері податкового та бухгалтерського обліку відповідно до літ. с п. 1 ст. 6 GDPR;</w:t>
      </w:r>
    </w:p>
    <w:p w14:paraId="79FAB4AF" w14:textId="77777777" w:rsidR="001E7784" w:rsidRPr="001E7784" w:rsidRDefault="001E7784" w:rsidP="001E7784">
      <w:pPr>
        <w:numPr>
          <w:ilvl w:val="0"/>
          <w:numId w:val="2"/>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color w:val="000000"/>
          <w:sz w:val="24"/>
        </w:rPr>
        <w:t>забезпечення законних інтересів Контролера згідно з літ. f п. 1 ст. 6 GDPR, який полягає у:</w:t>
      </w:r>
    </w:p>
    <w:p w14:paraId="21F28713"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маркетингу власної продукції та послуг, зокрема, їхнього підбору на основі профілювання,</w:t>
      </w:r>
    </w:p>
    <w:p w14:paraId="7034B426"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наданні пропозицій продукції та послуг компаній, які співпрацюють з нами (наших партнерів), зокрема, співорганізаторів та спонсорів акцій, спільних кампаній та рекламних конкурсів, у тому числі підбираючи їх до ваших потреб на основі профілювання;</w:t>
      </w:r>
    </w:p>
    <w:p w14:paraId="30F00440"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проведенні заходів у випадку необхідності стягнення боргів,</w:t>
      </w:r>
    </w:p>
    <w:p w14:paraId="02DFDB34"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веденні кореспонденції або наданні відповідей на запитання, задані за контактними даними Контролера,</w:t>
      </w:r>
    </w:p>
    <w:p w14:paraId="60E90619"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 розгляді рекламацій,</w:t>
      </w:r>
    </w:p>
    <w:p w14:paraId="669BCD5D"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з аналітичними цілями – підбір послуг під потреби наших клієнтів, оптимізація наших продуктів на основі ваших коментарів про них, вашої зацікавленості, технічних логів програми, оптимізація процесів обслуговування продажів на основі процесів продажів і післяпродажного обслуговування, в т.ч. рекламацій,</w:t>
      </w:r>
    </w:p>
    <w:p w14:paraId="0222694B" w14:textId="77777777" w:rsidR="001E7784" w:rsidRPr="001E7784" w:rsidRDefault="001E7784" w:rsidP="001E7784">
      <w:pPr>
        <w:numPr>
          <w:ilvl w:val="0"/>
          <w:numId w:val="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lastRenderedPageBreak/>
        <w:t>з метою дослідження задоволеності клієнтів та визначення якості наших послуг.</w:t>
      </w:r>
    </w:p>
    <w:p w14:paraId="7D2E0310"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У разі укладення договору з комерційною юридичною компанією або установою, Контролер обробляє персональні дані осіб, уповноважених їх представляти, та осіб, визначених для контакту, лише для цілей, пов’язаних з укладенням та виконанням договорів та проведенням можливих заходів з розгляду скарг та стягнення заборгованості, що є законним інтересом Контролера на підставі літ. f п. 1 ст. 6 GDPR. У цьому випадку персональні дані включають ідентифікаційні дані, контактні дані, займану посаду та інші дані, доступні в загальнодоступних реєстрах (наприклад, KRS, CEIDG) або надані компанією чи установою для укладення та виконання договору.</w:t>
      </w:r>
    </w:p>
    <w:p w14:paraId="69386C15" w14:textId="77777777" w:rsidR="001E7784" w:rsidRPr="001E7784" w:rsidRDefault="001E7784" w:rsidP="001E7784">
      <w:pPr>
        <w:numPr>
          <w:ilvl w:val="0"/>
          <w:numId w:val="4"/>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Обсяг персональних даних, що опрацьовуються:</w:t>
      </w:r>
    </w:p>
    <w:p w14:paraId="3497485B"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Обсяг персональних даних включає ідентифікаційні дані, контактні дані та дані, що містяться у загальнодоступних реєстрах та джерелах або надані Клієнтом/Контрагентом, включаючи дані осіб, уповноважених на представництво, дані уповноважених осіб та дані осіб, визначених для контакту.</w:t>
      </w:r>
    </w:p>
    <w:p w14:paraId="2ABFA606" w14:textId="77777777" w:rsidR="001E7784" w:rsidRPr="001E7784" w:rsidRDefault="001E7784" w:rsidP="001E7784">
      <w:pPr>
        <w:numPr>
          <w:ilvl w:val="0"/>
          <w:numId w:val="5"/>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Одержувачі персональних даних:</w:t>
      </w:r>
    </w:p>
    <w:p w14:paraId="1550FB4A"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Доступ до персональних даних мають підготовлені та уповноважені працівники або партнери Контролера, зокрема організації, які надають юридичні, консультаційні, ІТ, бухгалтерські послуги, логістичні, кур’єрські чи поштові оператори, які надають платіжні, маркетингові, страхові послуги, ліквідатори збитків, а також суб'єкти фінансової групи Контролера та партнери.</w:t>
      </w:r>
    </w:p>
    <w:p w14:paraId="5EC507D1" w14:textId="77777777" w:rsidR="001E7784" w:rsidRPr="001E7784" w:rsidRDefault="001E7784" w:rsidP="001E7784">
      <w:pPr>
        <w:numPr>
          <w:ilvl w:val="0"/>
          <w:numId w:val="6"/>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Підстава для надання персональних даних</w:t>
      </w:r>
    </w:p>
    <w:p w14:paraId="47C9D722"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Надання персональних даних необхідне для укладення та виконання договору, а також для вчинення дій, визначених законодавством, після його завершення або дій, виправданих інтересами Контролера протягом тривання договору.</w:t>
      </w:r>
    </w:p>
    <w:p w14:paraId="254F1702" w14:textId="77777777" w:rsidR="001E7784" w:rsidRPr="001E7784" w:rsidRDefault="001E7784" w:rsidP="001E7784">
      <w:pPr>
        <w:numPr>
          <w:ilvl w:val="0"/>
          <w:numId w:val="7"/>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Термін обробки персональних даних</w:t>
      </w:r>
    </w:p>
    <w:p w14:paraId="66327187"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Ваші персональні дані оброблятимуться протягом часу, необхідного для виконання договору або терміну позовної давності, а також для виконання юридичних зобов’язань, покладених на Контролера, зокрема у сфері податкових та бухгалтерських зобов’язань.</w:t>
      </w:r>
    </w:p>
    <w:p w14:paraId="383A4506"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У випадку персональних даних, отриманих у зв’язку з організацією конкурсів, персональні дані зберігатимуться протягом 12 місяців, а дані переможців конкурсу – протягом періоду, необхідного для виконання податкових та бухгалтерських зобов’язань.</w:t>
      </w:r>
    </w:p>
    <w:p w14:paraId="2E76D01F"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У разі обробки персональних даних у маркетингових цілях персональні дані оброблятимуться до моменту, поки не буде подано заперечення проти їхньої обробки, не буде відкликано згоду на їхню обробку, або Контролер вирішить, що персональні дані втратили актуальність.</w:t>
      </w:r>
    </w:p>
    <w:p w14:paraId="1F1B000B"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lastRenderedPageBreak/>
        <w:t> </w:t>
      </w:r>
    </w:p>
    <w:p w14:paraId="69DD641C" w14:textId="77777777" w:rsidR="001E7784" w:rsidRPr="001E7784" w:rsidRDefault="001E7784" w:rsidP="001E7784">
      <w:pPr>
        <w:numPr>
          <w:ilvl w:val="0"/>
          <w:numId w:val="8"/>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Права суб’єктів даних</w:t>
      </w:r>
    </w:p>
    <w:p w14:paraId="6D567643"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Кожен клієнт/підрядник має право:</w:t>
      </w:r>
    </w:p>
    <w:p w14:paraId="2903DE5B" w14:textId="77777777" w:rsidR="001E7784" w:rsidRPr="001E7784" w:rsidRDefault="001E7784" w:rsidP="001E7784">
      <w:pPr>
        <w:numPr>
          <w:ilvl w:val="0"/>
          <w:numId w:val="9"/>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на підставі ст. 15 GDPR – право на доступ до персональних даних;</w:t>
      </w:r>
    </w:p>
    <w:p w14:paraId="1475FFD6" w14:textId="77777777" w:rsidR="001E7784" w:rsidRPr="001E7784" w:rsidRDefault="001E7784" w:rsidP="001E7784">
      <w:pPr>
        <w:numPr>
          <w:ilvl w:val="0"/>
          <w:numId w:val="9"/>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на підставі ст. 16 GDPR – право на виправлення персональних даних;</w:t>
      </w:r>
    </w:p>
    <w:p w14:paraId="0DE45FC1" w14:textId="77777777" w:rsidR="001E7784" w:rsidRPr="001E7784" w:rsidRDefault="001E7784" w:rsidP="001E7784">
      <w:pPr>
        <w:numPr>
          <w:ilvl w:val="0"/>
          <w:numId w:val="9"/>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на підставі ст. 17 GDPR – право вимагати видалення персональних даних;</w:t>
      </w:r>
    </w:p>
    <w:p w14:paraId="0D3A2CA2" w14:textId="77777777" w:rsidR="001E7784" w:rsidRPr="001E7784" w:rsidRDefault="001E7784" w:rsidP="001E7784">
      <w:pPr>
        <w:numPr>
          <w:ilvl w:val="0"/>
          <w:numId w:val="9"/>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на підставі ст. 18 GDPR – право вимагати обмеження обробки персональних даних у випадках, зазначених у п. 2 ст. 18 GDPR;</w:t>
      </w:r>
    </w:p>
    <w:p w14:paraId="0BCEFB33" w14:textId="77777777" w:rsidR="001E7784" w:rsidRPr="001E7784" w:rsidRDefault="001E7784" w:rsidP="001E7784">
      <w:pPr>
        <w:numPr>
          <w:ilvl w:val="0"/>
          <w:numId w:val="9"/>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на підставі ст. 20 GDPR, право передавати персональні дані лише в обсязі, в якому персональні дані обробляються автоматизованим способом і на основі договору;</w:t>
      </w:r>
    </w:p>
    <w:p w14:paraId="1E879DC9"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право на подання скарги голові Управління з захисту персональних даних, вул. Ставкі, 2, 00-193, м. Варшава, якщо ви вважаєте, що обробка персональних даних порушує положення GDPR.</w:t>
      </w:r>
    </w:p>
    <w:p w14:paraId="53BCDBB8"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У разі обробки даних відповідно до літ. f п. 1 ст. 6 GDPR, тобто з метою реалізації законних інтересів, клієнт/підрядник має право заперечити проти обробки даних.</w:t>
      </w:r>
    </w:p>
    <w:p w14:paraId="0F46086D"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У разі обробки персональних даних на підставі згоди, клієнт/постачальник має право її відкликати, що, однак, не впливає на законність обробки, яка здійснюється на підставі згоди в період між її наданням та відкликанням.</w:t>
      </w:r>
    </w:p>
    <w:p w14:paraId="0CBDE444" w14:textId="77777777" w:rsidR="001E7784" w:rsidRPr="001E7784" w:rsidRDefault="001E7784" w:rsidP="001E7784">
      <w:pPr>
        <w:numPr>
          <w:ilvl w:val="0"/>
          <w:numId w:val="10"/>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Профілювання:</w:t>
      </w:r>
    </w:p>
    <w:p w14:paraId="6BEAADB0"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Персональні дані не використовуються у процесах автоматизованого прийняття рішень, зокрема, для профілювання.</w:t>
      </w:r>
    </w:p>
    <w:p w14:paraId="2516207E" w14:textId="77777777" w:rsidR="001E7784" w:rsidRPr="001E7784" w:rsidRDefault="001E7784" w:rsidP="001E7784">
      <w:pPr>
        <w:numPr>
          <w:ilvl w:val="0"/>
          <w:numId w:val="11"/>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Передача персональних даних за межі Європейської економічної зони</w:t>
      </w:r>
    </w:p>
    <w:p w14:paraId="5CE93672"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Персональні дані не будуть передаватися за межі Європейського економічного простору та міжнародним організаціям.</w:t>
      </w:r>
    </w:p>
    <w:p w14:paraId="79DAA7D9" w14:textId="77777777" w:rsidR="001E7784" w:rsidRPr="001E7784" w:rsidRDefault="001E7784" w:rsidP="001E7784">
      <w:pPr>
        <w:numPr>
          <w:ilvl w:val="0"/>
          <w:numId w:val="12"/>
        </w:numPr>
        <w:spacing w:before="100" w:beforeAutospacing="1" w:after="100" w:afterAutospacing="1" w:line="240" w:lineRule="auto"/>
        <w:ind w:left="0"/>
        <w:rPr>
          <w:rFonts w:ascii="Arial" w:eastAsia="Times New Roman" w:hAnsi="Arial" w:cs="Arial"/>
          <w:color w:val="000000"/>
          <w:spacing w:val="6"/>
          <w:sz w:val="24"/>
          <w:szCs w:val="24"/>
        </w:rPr>
      </w:pPr>
      <w:r>
        <w:rPr>
          <w:rFonts w:ascii="Arial" w:hAnsi="Arial"/>
          <w:b/>
          <w:color w:val="000000"/>
          <w:sz w:val="24"/>
        </w:rPr>
        <w:t>Контактні дані Уповноваженого з питань захисту персональних даних.</w:t>
      </w:r>
    </w:p>
    <w:p w14:paraId="54663A60"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У разі виникнення сумнівів щодо обробки персональних даних, зокрема з метою реалізації своїх прав, просимо зв’язатися з Уповноваженим з питань захисту персональних даних за:</w:t>
      </w:r>
    </w:p>
    <w:p w14:paraId="70DA492B" w14:textId="77777777" w:rsidR="001E7784" w:rsidRPr="001E7784" w:rsidRDefault="001E7784" w:rsidP="001E7784">
      <w:pPr>
        <w:numPr>
          <w:ilvl w:val="0"/>
          <w:numId w:val="13"/>
        </w:numPr>
        <w:spacing w:before="100" w:beforeAutospacing="1" w:after="150" w:line="240" w:lineRule="auto"/>
        <w:ind w:left="0"/>
        <w:rPr>
          <w:rFonts w:ascii="Arial" w:eastAsia="Times New Roman" w:hAnsi="Arial" w:cs="Arial"/>
          <w:color w:val="000000"/>
          <w:spacing w:val="6"/>
          <w:sz w:val="24"/>
          <w:szCs w:val="24"/>
        </w:rPr>
      </w:pPr>
      <w:r>
        <w:t>адресою e-mail:</w:t>
      </w:r>
      <w:r>
        <w:rPr>
          <w:rFonts w:ascii="Arial" w:hAnsi="Arial"/>
          <w:color w:val="000000"/>
          <w:sz w:val="24"/>
        </w:rPr>
        <w:t> </w:t>
      </w:r>
      <w:hyperlink r:id="rId7" w:history="1">
        <w:r>
          <w:rPr>
            <w:rFonts w:ascii="Arial" w:hAnsi="Arial"/>
            <w:color w:val="0000FF"/>
            <w:sz w:val="24"/>
          </w:rPr>
          <w:t>rodo@prymat.pl</w:t>
        </w:r>
      </w:hyperlink>
      <w:r>
        <w:rPr>
          <w:rFonts w:ascii="Arial" w:hAnsi="Arial"/>
          <w:color w:val="000000"/>
          <w:sz w:val="24"/>
        </w:rPr>
        <w:t>,</w:t>
      </w:r>
    </w:p>
    <w:p w14:paraId="0135DDBA" w14:textId="77777777" w:rsidR="001E7784" w:rsidRPr="001E7784" w:rsidRDefault="001E7784" w:rsidP="001E7784">
      <w:pPr>
        <w:numPr>
          <w:ilvl w:val="0"/>
          <w:numId w:val="1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t>номером телефону (32) 47-33-833, вн. 702,</w:t>
      </w:r>
    </w:p>
    <w:p w14:paraId="0A87D9A7" w14:textId="77777777" w:rsidR="001E7784" w:rsidRPr="001E7784" w:rsidRDefault="001E7784" w:rsidP="001E7784">
      <w:pPr>
        <w:numPr>
          <w:ilvl w:val="0"/>
          <w:numId w:val="13"/>
        </w:numPr>
        <w:spacing w:before="100" w:beforeAutospacing="1" w:after="150" w:line="240" w:lineRule="auto"/>
        <w:ind w:left="0"/>
        <w:rPr>
          <w:rFonts w:ascii="Arial" w:eastAsia="Times New Roman" w:hAnsi="Arial" w:cs="Arial"/>
          <w:color w:val="000000"/>
          <w:spacing w:val="6"/>
          <w:sz w:val="24"/>
          <w:szCs w:val="24"/>
        </w:rPr>
      </w:pPr>
      <w:r>
        <w:rPr>
          <w:rFonts w:ascii="Arial" w:hAnsi="Arial"/>
          <w:color w:val="000000"/>
          <w:sz w:val="24"/>
        </w:rPr>
        <w:lastRenderedPageBreak/>
        <w:t>традиційною поштою на адресу Контролера з поміткою «Уповноваженому з питань захисту персональних даних».</w:t>
      </w:r>
    </w:p>
    <w:p w14:paraId="18B58E2C" w14:textId="77777777" w:rsidR="001E7784" w:rsidRPr="001E7784" w:rsidRDefault="001E7784" w:rsidP="001E7784">
      <w:pPr>
        <w:spacing w:after="360" w:line="240" w:lineRule="auto"/>
        <w:rPr>
          <w:rFonts w:ascii="Arial" w:eastAsia="Times New Roman" w:hAnsi="Arial" w:cs="Arial"/>
          <w:color w:val="000000"/>
          <w:spacing w:val="6"/>
          <w:sz w:val="24"/>
          <w:szCs w:val="24"/>
        </w:rPr>
      </w:pPr>
      <w:r>
        <w:rPr>
          <w:rFonts w:ascii="Arial" w:hAnsi="Arial"/>
          <w:color w:val="000000"/>
          <w:sz w:val="24"/>
        </w:rPr>
        <w:t>Запевняємо, що Контролер персональних даних докладає всіх зусиль для забезпечення засобів фізичного, технічного та організаційного захисту персональних даних від їхнього випадкового чи навмисного знищення, втрати, зміни, несанкціонованого розкриття, використання чи доступу відповідно до чинних нормативно-правових актів.</w:t>
      </w:r>
    </w:p>
    <w:p w14:paraId="081BFD4D" w14:textId="77777777" w:rsidR="00353E5A" w:rsidRDefault="006A5FEB"/>
    <w:sectPr w:rsidR="00353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5D8A" w14:textId="77777777" w:rsidR="006A5FEB" w:rsidRDefault="006A5FEB" w:rsidP="006A5FEB">
      <w:pPr>
        <w:spacing w:after="0" w:line="240" w:lineRule="auto"/>
      </w:pPr>
      <w:r>
        <w:separator/>
      </w:r>
    </w:p>
  </w:endnote>
  <w:endnote w:type="continuationSeparator" w:id="0">
    <w:p w14:paraId="71DF20C6" w14:textId="77777777" w:rsidR="006A5FEB" w:rsidRDefault="006A5FEB" w:rsidP="006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2AC5" w14:textId="77777777" w:rsidR="006A5FEB" w:rsidRDefault="006A5FEB" w:rsidP="006A5FEB">
      <w:pPr>
        <w:spacing w:after="0" w:line="240" w:lineRule="auto"/>
      </w:pPr>
      <w:r>
        <w:separator/>
      </w:r>
    </w:p>
  </w:footnote>
  <w:footnote w:type="continuationSeparator" w:id="0">
    <w:p w14:paraId="3F999AEE" w14:textId="77777777" w:rsidR="006A5FEB" w:rsidRDefault="006A5FEB" w:rsidP="006A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E68"/>
    <w:multiLevelType w:val="multilevel"/>
    <w:tmpl w:val="2C88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E227E"/>
    <w:multiLevelType w:val="multilevel"/>
    <w:tmpl w:val="F9503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861E5"/>
    <w:multiLevelType w:val="multilevel"/>
    <w:tmpl w:val="8DEC4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D7498"/>
    <w:multiLevelType w:val="multilevel"/>
    <w:tmpl w:val="8E88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F614B"/>
    <w:multiLevelType w:val="multilevel"/>
    <w:tmpl w:val="86A88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A655D"/>
    <w:multiLevelType w:val="multilevel"/>
    <w:tmpl w:val="E2A2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E66A3"/>
    <w:multiLevelType w:val="multilevel"/>
    <w:tmpl w:val="71764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11766"/>
    <w:multiLevelType w:val="multilevel"/>
    <w:tmpl w:val="C9BC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E3EBE"/>
    <w:multiLevelType w:val="multilevel"/>
    <w:tmpl w:val="6DF02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146AB3"/>
    <w:multiLevelType w:val="multilevel"/>
    <w:tmpl w:val="62804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630973"/>
    <w:multiLevelType w:val="multilevel"/>
    <w:tmpl w:val="627C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5090"/>
    <w:multiLevelType w:val="multilevel"/>
    <w:tmpl w:val="EB5E2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F341A2"/>
    <w:multiLevelType w:val="multilevel"/>
    <w:tmpl w:val="61E89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410710">
    <w:abstractNumId w:val="5"/>
  </w:num>
  <w:num w:numId="2" w16cid:durableId="2024625910">
    <w:abstractNumId w:val="0"/>
  </w:num>
  <w:num w:numId="3" w16cid:durableId="919868927">
    <w:abstractNumId w:val="7"/>
  </w:num>
  <w:num w:numId="4" w16cid:durableId="1389449654">
    <w:abstractNumId w:val="6"/>
  </w:num>
  <w:num w:numId="5" w16cid:durableId="119424701">
    <w:abstractNumId w:val="12"/>
  </w:num>
  <w:num w:numId="6" w16cid:durableId="580211651">
    <w:abstractNumId w:val="8"/>
  </w:num>
  <w:num w:numId="7" w16cid:durableId="816798449">
    <w:abstractNumId w:val="11"/>
  </w:num>
  <w:num w:numId="8" w16cid:durableId="209922403">
    <w:abstractNumId w:val="4"/>
  </w:num>
  <w:num w:numId="9" w16cid:durableId="1033845986">
    <w:abstractNumId w:val="3"/>
  </w:num>
  <w:num w:numId="10" w16cid:durableId="1763605100">
    <w:abstractNumId w:val="2"/>
  </w:num>
  <w:num w:numId="11" w16cid:durableId="1203322905">
    <w:abstractNumId w:val="1"/>
  </w:num>
  <w:num w:numId="12" w16cid:durableId="949511787">
    <w:abstractNumId w:val="9"/>
  </w:num>
  <w:num w:numId="13" w16cid:durableId="1682781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784"/>
    <w:rsid w:val="001E7784"/>
    <w:rsid w:val="00224246"/>
    <w:rsid w:val="002F45C9"/>
    <w:rsid w:val="00525E0F"/>
    <w:rsid w:val="006A5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77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7784"/>
    <w:rPr>
      <w:b/>
      <w:bCs/>
    </w:rPr>
  </w:style>
  <w:style w:type="character" w:styleId="Hipercze">
    <w:name w:val="Hyperlink"/>
    <w:basedOn w:val="Domylnaczcionkaakapitu"/>
    <w:uiPriority w:val="99"/>
    <w:semiHidden/>
    <w:unhideWhenUsed/>
    <w:rsid w:val="001E7784"/>
    <w:rPr>
      <w:color w:val="0000FF"/>
      <w:u w:val="single"/>
    </w:rPr>
  </w:style>
  <w:style w:type="paragraph" w:styleId="Nagwek">
    <w:name w:val="header"/>
    <w:basedOn w:val="Normalny"/>
    <w:link w:val="NagwekZnak"/>
    <w:uiPriority w:val="99"/>
    <w:unhideWhenUsed/>
    <w:rsid w:val="006A5F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FEB"/>
  </w:style>
  <w:style w:type="paragraph" w:styleId="Stopka">
    <w:name w:val="footer"/>
    <w:basedOn w:val="Normalny"/>
    <w:link w:val="StopkaZnak"/>
    <w:uiPriority w:val="99"/>
    <w:unhideWhenUsed/>
    <w:rsid w:val="006A5F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873">
      <w:bodyDiv w:val="1"/>
      <w:marLeft w:val="0"/>
      <w:marRight w:val="0"/>
      <w:marTop w:val="0"/>
      <w:marBottom w:val="0"/>
      <w:divBdr>
        <w:top w:val="none" w:sz="0" w:space="0" w:color="auto"/>
        <w:left w:val="none" w:sz="0" w:space="0" w:color="auto"/>
        <w:bottom w:val="none" w:sz="0" w:space="0" w:color="auto"/>
        <w:right w:val="none" w:sz="0" w:space="0" w:color="auto"/>
      </w:divBdr>
      <w:divsChild>
        <w:div w:id="907955597">
          <w:marLeft w:val="0"/>
          <w:marRight w:val="0"/>
          <w:marTop w:val="0"/>
          <w:marBottom w:val="0"/>
          <w:divBdr>
            <w:top w:val="none" w:sz="0" w:space="0" w:color="auto"/>
            <w:left w:val="none" w:sz="0" w:space="0" w:color="auto"/>
            <w:bottom w:val="none" w:sz="0" w:space="0" w:color="auto"/>
            <w:right w:val="none" w:sz="0" w:space="0" w:color="auto"/>
          </w:divBdr>
        </w:div>
        <w:div w:id="79845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prym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5642</Characters>
  <Application>Microsoft Office Word</Application>
  <DocSecurity>0</DocSecurity>
  <Lines>47</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2023-03-17T12:41:00Z</dcterms:created>
  <dcterms:modified xsi:type="dcterms:W3CDTF">2023-03-17T12:41:00Z</dcterms:modified>
</cp:coreProperties>
</file>